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7F" w:rsidRDefault="000658E9" w:rsidP="00FC199B">
      <w:pPr>
        <w:spacing w:after="0" w:line="259" w:lineRule="auto"/>
        <w:ind w:left="3126" w:right="0" w:firstLine="0"/>
        <w:jc w:val="center"/>
      </w:pPr>
      <w:r>
        <w:rPr>
          <w:rFonts w:ascii="Times New Roman" w:eastAsia="Times New Roman" w:hAnsi="Times New Roman" w:cs="Times New Roman"/>
          <w:sz w:val="20"/>
        </w:rPr>
        <w:t xml:space="preserve">  </w:t>
      </w:r>
    </w:p>
    <w:p w:rsidR="0020687F" w:rsidRDefault="000658E9">
      <w:pPr>
        <w:shd w:val="clear" w:color="auto" w:fill="4F81BD"/>
        <w:spacing w:after="0" w:line="259" w:lineRule="auto"/>
        <w:ind w:left="118" w:right="0" w:firstLine="0"/>
        <w:jc w:val="center"/>
      </w:pPr>
      <w:r>
        <w:rPr>
          <w:b/>
          <w:color w:val="FFFFFF"/>
        </w:rPr>
        <w:t>Offre de stage : soutien à la recherche et publications</w:t>
      </w:r>
      <w:r>
        <w:rPr>
          <w:rFonts w:ascii="Times New Roman" w:eastAsia="Times New Roman" w:hAnsi="Times New Roman" w:cs="Times New Roman"/>
          <w:sz w:val="16"/>
        </w:rPr>
        <w:t xml:space="preserve"> </w:t>
      </w:r>
    </w:p>
    <w:p w:rsidR="0020687F" w:rsidRDefault="000658E9">
      <w:pPr>
        <w:spacing w:after="96" w:line="259" w:lineRule="auto"/>
        <w:ind w:left="0" w:right="0" w:firstLine="0"/>
        <w:jc w:val="left"/>
      </w:pPr>
      <w:r>
        <w:rPr>
          <w:rFonts w:ascii="Times New Roman" w:eastAsia="Times New Roman" w:hAnsi="Times New Roman" w:cs="Times New Roman"/>
          <w:sz w:val="16"/>
        </w:rPr>
        <w:t xml:space="preserve"> </w:t>
      </w:r>
    </w:p>
    <w:p w:rsidR="0020687F" w:rsidRPr="00FC199B" w:rsidRDefault="000658E9">
      <w:pPr>
        <w:pStyle w:val="Titre1"/>
        <w:ind w:left="141"/>
        <w:rPr>
          <w:sz w:val="20"/>
          <w:szCs w:val="20"/>
        </w:rPr>
      </w:pPr>
      <w:r w:rsidRPr="00FC199B">
        <w:rPr>
          <w:sz w:val="20"/>
          <w:szCs w:val="20"/>
        </w:rPr>
        <w:t xml:space="preserve">Les publications de l'Institut des Amériques </w:t>
      </w:r>
    </w:p>
    <w:p w:rsidR="0020687F" w:rsidRPr="00FC199B" w:rsidRDefault="000658E9">
      <w:pPr>
        <w:spacing w:after="46"/>
        <w:ind w:left="141" w:right="5"/>
        <w:rPr>
          <w:sz w:val="20"/>
          <w:szCs w:val="20"/>
        </w:rPr>
      </w:pPr>
      <w:r w:rsidRPr="00FC199B">
        <w:rPr>
          <w:sz w:val="20"/>
          <w:szCs w:val="20"/>
        </w:rPr>
        <w:t>L'Institut des Amériques développe une politique de publication de livres et d'articles en version numérique et papier : En 2011, la revue en lign</w:t>
      </w:r>
      <w:hyperlink r:id="rId5">
        <w:r w:rsidRPr="00FC199B">
          <w:rPr>
            <w:sz w:val="20"/>
            <w:szCs w:val="20"/>
          </w:rPr>
          <w:t xml:space="preserve">e </w:t>
        </w:r>
      </w:hyperlink>
      <w:hyperlink r:id="rId6">
        <w:r w:rsidRPr="00FC199B">
          <w:rPr>
            <w:color w:val="0000FF"/>
            <w:sz w:val="20"/>
            <w:szCs w:val="20"/>
            <w:u w:val="single" w:color="0000FF"/>
          </w:rPr>
          <w:t xml:space="preserve">IdeAs </w:t>
        </w:r>
      </w:hyperlink>
      <w:hyperlink r:id="rId7">
        <w:r w:rsidRPr="00FC199B">
          <w:rPr>
            <w:sz w:val="20"/>
            <w:szCs w:val="20"/>
          </w:rPr>
          <w:t>a</w:t>
        </w:r>
      </w:hyperlink>
      <w:r w:rsidRPr="00FC199B">
        <w:rPr>
          <w:sz w:val="20"/>
          <w:szCs w:val="20"/>
        </w:rPr>
        <w:t xml:space="preserve"> été créée sur la plateforme d'édition électronique </w:t>
      </w:r>
      <w:proofErr w:type="spellStart"/>
      <w:r w:rsidRPr="00FC199B">
        <w:rPr>
          <w:color w:val="0000FF"/>
          <w:sz w:val="20"/>
          <w:szCs w:val="20"/>
          <w:u w:val="single" w:color="0000FF"/>
        </w:rPr>
        <w:t>OpenEdition</w:t>
      </w:r>
      <w:proofErr w:type="spellEnd"/>
      <w:r w:rsidRPr="00FC199B">
        <w:rPr>
          <w:sz w:val="20"/>
          <w:szCs w:val="20"/>
        </w:rPr>
        <w:t>. En 2012, deux partenariats avec deux grandes maisons d'éditions (</w:t>
      </w:r>
      <w:hyperlink r:id="rId8">
        <w:r w:rsidRPr="00FC199B">
          <w:rPr>
            <w:color w:val="0000FF"/>
            <w:sz w:val="20"/>
            <w:szCs w:val="20"/>
            <w:u w:val="single" w:color="0000FF"/>
          </w:rPr>
          <w:t>Armand Colin</w:t>
        </w:r>
      </w:hyperlink>
      <w:hyperlink r:id="rId9">
        <w:r w:rsidRPr="00FC199B">
          <w:rPr>
            <w:color w:val="0000FF"/>
            <w:sz w:val="20"/>
            <w:szCs w:val="20"/>
          </w:rPr>
          <w:t xml:space="preserve"> </w:t>
        </w:r>
      </w:hyperlink>
      <w:hyperlink r:id="rId10">
        <w:r w:rsidRPr="00FC199B">
          <w:rPr>
            <w:sz w:val="20"/>
            <w:szCs w:val="20"/>
          </w:rPr>
          <w:t>e</w:t>
        </w:r>
      </w:hyperlink>
      <w:r w:rsidRPr="00FC199B">
        <w:rPr>
          <w:sz w:val="20"/>
          <w:szCs w:val="20"/>
        </w:rPr>
        <w:t>t le</w:t>
      </w:r>
      <w:hyperlink r:id="rId11">
        <w:r w:rsidRPr="00FC199B">
          <w:rPr>
            <w:sz w:val="20"/>
            <w:szCs w:val="20"/>
          </w:rPr>
          <w:t xml:space="preserve">s </w:t>
        </w:r>
      </w:hyperlink>
      <w:hyperlink r:id="rId12" w:history="1">
        <w:r w:rsidRPr="00FC199B">
          <w:rPr>
            <w:rStyle w:val="Lienhypertexte"/>
            <w:color w:val="0033CC"/>
            <w:sz w:val="20"/>
            <w:szCs w:val="20"/>
          </w:rPr>
          <w:t>Presses universitaires de Rennes</w:t>
        </w:r>
      </w:hyperlink>
      <w:hyperlink r:id="rId13">
        <w:r w:rsidRPr="00FC199B">
          <w:rPr>
            <w:sz w:val="20"/>
            <w:szCs w:val="20"/>
          </w:rPr>
          <w:t>)</w:t>
        </w:r>
      </w:hyperlink>
      <w:r w:rsidRPr="00FC199B">
        <w:rPr>
          <w:sz w:val="20"/>
          <w:szCs w:val="20"/>
        </w:rPr>
        <w:t xml:space="preserve"> ont été signés. </w:t>
      </w:r>
    </w:p>
    <w:p w:rsidR="0020687F" w:rsidRPr="00FC199B" w:rsidRDefault="000658E9">
      <w:pPr>
        <w:spacing w:after="33" w:line="259" w:lineRule="auto"/>
        <w:ind w:left="146" w:right="0" w:firstLine="0"/>
        <w:jc w:val="left"/>
        <w:rPr>
          <w:sz w:val="20"/>
          <w:szCs w:val="20"/>
        </w:rPr>
      </w:pPr>
      <w:r w:rsidRPr="00FC199B">
        <w:rPr>
          <w:b/>
          <w:sz w:val="20"/>
          <w:szCs w:val="20"/>
        </w:rPr>
        <w:t xml:space="preserve"> </w:t>
      </w:r>
    </w:p>
    <w:p w:rsidR="0020687F" w:rsidRPr="00FC199B" w:rsidRDefault="000658E9">
      <w:pPr>
        <w:pStyle w:val="Titre1"/>
        <w:ind w:left="141"/>
        <w:rPr>
          <w:sz w:val="20"/>
          <w:szCs w:val="20"/>
        </w:rPr>
      </w:pPr>
      <w:r w:rsidRPr="00FC199B">
        <w:rPr>
          <w:sz w:val="20"/>
          <w:szCs w:val="20"/>
        </w:rPr>
        <w:t xml:space="preserve">La recherche à l'Institut des Amériques </w:t>
      </w:r>
    </w:p>
    <w:p w:rsidR="0020687F" w:rsidRPr="00FC199B" w:rsidRDefault="000658E9">
      <w:pPr>
        <w:spacing w:after="0" w:line="239" w:lineRule="auto"/>
        <w:ind w:left="141" w:right="99"/>
        <w:rPr>
          <w:sz w:val="20"/>
          <w:szCs w:val="20"/>
        </w:rPr>
      </w:pPr>
      <w:r w:rsidRPr="00FC199B">
        <w:rPr>
          <w:sz w:val="20"/>
          <w:szCs w:val="20"/>
        </w:rPr>
        <w:t>En collaboration avec le</w:t>
      </w:r>
      <w:hyperlink r:id="rId14">
        <w:r w:rsidRPr="00FC199B">
          <w:rPr>
            <w:sz w:val="20"/>
            <w:szCs w:val="20"/>
          </w:rPr>
          <w:t xml:space="preserve">s </w:t>
        </w:r>
      </w:hyperlink>
      <w:hyperlink r:id="rId15">
        <w:r w:rsidRPr="00FC199B">
          <w:rPr>
            <w:color w:val="0000FF"/>
            <w:sz w:val="20"/>
            <w:szCs w:val="20"/>
            <w:u w:val="single" w:color="0000FF"/>
          </w:rPr>
          <w:t>pôles régionaux</w:t>
        </w:r>
      </w:hyperlink>
      <w:hyperlink r:id="rId16">
        <w:r w:rsidRPr="00FC199B">
          <w:rPr>
            <w:sz w:val="20"/>
            <w:szCs w:val="20"/>
          </w:rPr>
          <w:t>,</w:t>
        </w:r>
      </w:hyperlink>
      <w:r w:rsidRPr="00FC199B">
        <w:rPr>
          <w:sz w:val="20"/>
          <w:szCs w:val="20"/>
        </w:rPr>
        <w:t xml:space="preserve"> la commission recherche de l’IdA évalue les projets proposés dans le cadre des</w:t>
      </w:r>
      <w:hyperlink r:id="rId17">
        <w:r w:rsidRPr="00FC199B">
          <w:rPr>
            <w:color w:val="0000FF"/>
            <w:sz w:val="20"/>
            <w:szCs w:val="20"/>
          </w:rPr>
          <w:t xml:space="preserve"> </w:t>
        </w:r>
      </w:hyperlink>
      <w:hyperlink r:id="rId18">
        <w:r w:rsidRPr="00FC199B">
          <w:rPr>
            <w:color w:val="0000FF"/>
            <w:sz w:val="20"/>
            <w:szCs w:val="20"/>
            <w:u w:val="single" w:color="0000FF"/>
          </w:rPr>
          <w:t>appels annuels de l’IdA</w:t>
        </w:r>
      </w:hyperlink>
      <w:hyperlink r:id="rId19">
        <w:r w:rsidRPr="00FC199B">
          <w:rPr>
            <w:color w:val="0000FF"/>
            <w:sz w:val="20"/>
            <w:szCs w:val="20"/>
          </w:rPr>
          <w:t xml:space="preserve"> </w:t>
        </w:r>
      </w:hyperlink>
      <w:hyperlink r:id="rId20">
        <w:r w:rsidRPr="00FC199B">
          <w:rPr>
            <w:sz w:val="20"/>
            <w:szCs w:val="20"/>
          </w:rPr>
          <w:t>p</w:t>
        </w:r>
      </w:hyperlink>
      <w:r w:rsidRPr="00FC199B">
        <w:rPr>
          <w:sz w:val="20"/>
          <w:szCs w:val="20"/>
        </w:rPr>
        <w:t>our appuyer la recherche doctorale et les manifestations scientifiques. Elle organise également un Congrès biennal. Elle propose un</w:t>
      </w:r>
      <w:hyperlink r:id="rId21">
        <w:r w:rsidRPr="00FC199B">
          <w:rPr>
            <w:color w:val="0000FF"/>
            <w:sz w:val="20"/>
            <w:szCs w:val="20"/>
            <w:u w:val="single" w:color="0000FF"/>
          </w:rPr>
          <w:t xml:space="preserve"> </w:t>
        </w:r>
      </w:hyperlink>
      <w:r w:rsidRPr="00FC199B">
        <w:rPr>
          <w:sz w:val="20"/>
          <w:szCs w:val="20"/>
        </w:rPr>
        <w:t>prix de thèses de l’Institut des Amériques</w:t>
      </w:r>
      <w:hyperlink r:id="rId22">
        <w:r w:rsidRPr="00FC199B">
          <w:rPr>
            <w:sz w:val="20"/>
            <w:szCs w:val="20"/>
          </w:rPr>
          <w:t xml:space="preserve">, </w:t>
        </w:r>
      </w:hyperlink>
      <w:hyperlink r:id="rId23">
        <w:r w:rsidRPr="00FC199B">
          <w:rPr>
            <w:sz w:val="20"/>
            <w:szCs w:val="20"/>
          </w:rPr>
          <w:t>t</w:t>
        </w:r>
      </w:hyperlink>
      <w:r w:rsidRPr="00FC199B">
        <w:rPr>
          <w:sz w:val="20"/>
          <w:szCs w:val="20"/>
        </w:rPr>
        <w:t xml:space="preserve">émoignant ainsi de l’appui du réseau à la formation doctorale, élément central de la politique de l’IdA. À ce titre la commission concourt également à l’attribution de </w:t>
      </w:r>
      <w:hyperlink r:id="rId24">
        <w:r w:rsidRPr="00FC199B">
          <w:rPr>
            <w:color w:val="0000FF"/>
            <w:sz w:val="20"/>
            <w:szCs w:val="20"/>
            <w:u w:val="single" w:color="0000FF"/>
          </w:rPr>
          <w:t>contrats doctoraux fléchés « Institut des Amériques »</w:t>
        </w:r>
      </w:hyperlink>
      <w:hyperlink r:id="rId25">
        <w:r w:rsidRPr="00FC199B">
          <w:rPr>
            <w:sz w:val="20"/>
            <w:szCs w:val="20"/>
          </w:rPr>
          <w:t>.</w:t>
        </w:r>
      </w:hyperlink>
      <w:r w:rsidRPr="00FC199B">
        <w:rPr>
          <w:sz w:val="20"/>
          <w:szCs w:val="20"/>
        </w:rPr>
        <w:t xml:space="preserve"> </w:t>
      </w:r>
    </w:p>
    <w:p w:rsidR="0020687F" w:rsidRPr="00FC199B" w:rsidRDefault="000658E9">
      <w:pPr>
        <w:spacing w:after="85" w:line="259" w:lineRule="auto"/>
        <w:ind w:left="0" w:right="0" w:firstLine="0"/>
        <w:jc w:val="left"/>
        <w:rPr>
          <w:sz w:val="20"/>
          <w:szCs w:val="20"/>
        </w:rPr>
      </w:pPr>
      <w:r w:rsidRPr="00FC199B">
        <w:rPr>
          <w:sz w:val="20"/>
          <w:szCs w:val="20"/>
        </w:rPr>
        <w:t xml:space="preserve"> </w:t>
      </w:r>
    </w:p>
    <w:p w:rsidR="0020687F" w:rsidRPr="00FC199B" w:rsidRDefault="000658E9">
      <w:pPr>
        <w:pStyle w:val="Titre1"/>
        <w:spacing w:after="33"/>
        <w:ind w:left="141"/>
        <w:rPr>
          <w:sz w:val="20"/>
          <w:szCs w:val="20"/>
        </w:rPr>
      </w:pPr>
      <w:r w:rsidRPr="00FC199B">
        <w:rPr>
          <w:sz w:val="20"/>
          <w:szCs w:val="20"/>
        </w:rPr>
        <w:t xml:space="preserve">Description du poste  </w:t>
      </w:r>
    </w:p>
    <w:p w:rsidR="0020687F" w:rsidRPr="00FC199B" w:rsidRDefault="000658E9">
      <w:pPr>
        <w:pStyle w:val="Titre2"/>
        <w:ind w:left="141"/>
        <w:rPr>
          <w:sz w:val="20"/>
          <w:szCs w:val="20"/>
        </w:rPr>
      </w:pPr>
      <w:r w:rsidRPr="00FC199B">
        <w:rPr>
          <w:sz w:val="20"/>
          <w:szCs w:val="20"/>
        </w:rPr>
        <w:t xml:space="preserve">Interlocuteurs </w:t>
      </w:r>
    </w:p>
    <w:p w:rsidR="0020687F" w:rsidRPr="00FC199B" w:rsidRDefault="000658E9">
      <w:pPr>
        <w:ind w:left="141" w:right="5"/>
        <w:rPr>
          <w:sz w:val="20"/>
          <w:szCs w:val="20"/>
        </w:rPr>
      </w:pPr>
      <w:r w:rsidRPr="00FC199B">
        <w:rPr>
          <w:sz w:val="20"/>
          <w:szCs w:val="20"/>
        </w:rPr>
        <w:t xml:space="preserve">La responsable administrative et la chargée de mission recherche </w:t>
      </w:r>
    </w:p>
    <w:p w:rsidR="0020687F" w:rsidRPr="00FC199B" w:rsidRDefault="000658E9">
      <w:pPr>
        <w:ind w:left="141" w:right="596"/>
        <w:rPr>
          <w:sz w:val="20"/>
          <w:szCs w:val="20"/>
        </w:rPr>
      </w:pPr>
      <w:r w:rsidRPr="00FC199B">
        <w:rPr>
          <w:sz w:val="20"/>
          <w:szCs w:val="20"/>
        </w:rPr>
        <w:t xml:space="preserve">Interlocuteur privilégié fonctionnel : le Secrétaire général, la commission recherche et le comité de rédaction de la revue électronique. </w:t>
      </w:r>
    </w:p>
    <w:p w:rsidR="0020687F" w:rsidRPr="00FC199B" w:rsidRDefault="000658E9">
      <w:pPr>
        <w:spacing w:after="0" w:line="259" w:lineRule="auto"/>
        <w:ind w:left="146" w:right="0" w:firstLine="0"/>
        <w:jc w:val="left"/>
        <w:rPr>
          <w:sz w:val="20"/>
          <w:szCs w:val="20"/>
        </w:rPr>
      </w:pPr>
      <w:r w:rsidRPr="00FC199B">
        <w:rPr>
          <w:sz w:val="20"/>
          <w:szCs w:val="20"/>
        </w:rPr>
        <w:t xml:space="preserve"> </w:t>
      </w:r>
    </w:p>
    <w:p w:rsidR="0020687F" w:rsidRPr="00FC199B" w:rsidRDefault="000658E9">
      <w:pPr>
        <w:pStyle w:val="Titre1"/>
        <w:ind w:left="141"/>
        <w:rPr>
          <w:sz w:val="20"/>
          <w:szCs w:val="20"/>
        </w:rPr>
      </w:pPr>
      <w:r w:rsidRPr="00FC199B">
        <w:rPr>
          <w:sz w:val="20"/>
          <w:szCs w:val="20"/>
        </w:rPr>
        <w:t xml:space="preserve">Mission 1 : Gestion des dossiers en lien avec la recherche </w:t>
      </w:r>
    </w:p>
    <w:p w:rsidR="0020687F" w:rsidRPr="00FC199B" w:rsidRDefault="000658E9">
      <w:pPr>
        <w:pStyle w:val="Titre2"/>
        <w:ind w:left="141"/>
        <w:rPr>
          <w:sz w:val="20"/>
          <w:szCs w:val="20"/>
        </w:rPr>
      </w:pPr>
      <w:r w:rsidRPr="00FC199B">
        <w:rPr>
          <w:sz w:val="20"/>
          <w:szCs w:val="20"/>
        </w:rPr>
        <w:t xml:space="preserve">Gestion des appels en cours  </w:t>
      </w:r>
    </w:p>
    <w:p w:rsidR="0020687F" w:rsidRPr="00FC199B" w:rsidRDefault="000658E9">
      <w:pPr>
        <w:numPr>
          <w:ilvl w:val="0"/>
          <w:numId w:val="1"/>
        </w:numPr>
        <w:ind w:right="5" w:hanging="161"/>
        <w:rPr>
          <w:sz w:val="20"/>
          <w:szCs w:val="20"/>
        </w:rPr>
      </w:pPr>
      <w:r w:rsidRPr="00FC199B">
        <w:rPr>
          <w:sz w:val="20"/>
          <w:szCs w:val="20"/>
        </w:rPr>
        <w:t xml:space="preserve">Gestion des évaluations </w:t>
      </w:r>
    </w:p>
    <w:p w:rsidR="0020687F" w:rsidRPr="00FC199B" w:rsidRDefault="000658E9">
      <w:pPr>
        <w:numPr>
          <w:ilvl w:val="0"/>
          <w:numId w:val="1"/>
        </w:numPr>
        <w:ind w:right="5" w:hanging="161"/>
        <w:rPr>
          <w:sz w:val="20"/>
          <w:szCs w:val="20"/>
        </w:rPr>
      </w:pPr>
      <w:r w:rsidRPr="00FC199B">
        <w:rPr>
          <w:sz w:val="20"/>
          <w:szCs w:val="20"/>
        </w:rPr>
        <w:t xml:space="preserve">Préparation des réunions en lien avec les experts et la commission recherche. </w:t>
      </w:r>
    </w:p>
    <w:p w:rsidR="0020687F" w:rsidRPr="00FC199B" w:rsidRDefault="000658E9">
      <w:pPr>
        <w:spacing w:after="0" w:line="259" w:lineRule="auto"/>
        <w:ind w:left="0" w:right="0" w:firstLine="0"/>
        <w:jc w:val="left"/>
        <w:rPr>
          <w:sz w:val="20"/>
          <w:szCs w:val="20"/>
        </w:rPr>
      </w:pPr>
      <w:r w:rsidRPr="00FC199B">
        <w:rPr>
          <w:noProof/>
          <w:sz w:val="20"/>
          <w:szCs w:val="20"/>
        </w:rPr>
        <w:drawing>
          <wp:anchor distT="0" distB="0" distL="114300" distR="114300" simplePos="0" relativeHeight="251658240" behindDoc="0" locked="0" layoutInCell="1" allowOverlap="0">
            <wp:simplePos x="0" y="0"/>
            <wp:positionH relativeFrom="page">
              <wp:posOffset>2936621</wp:posOffset>
            </wp:positionH>
            <wp:positionV relativeFrom="page">
              <wp:posOffset>342900</wp:posOffset>
            </wp:positionV>
            <wp:extent cx="1782318" cy="488950"/>
            <wp:effectExtent l="0" t="0" r="0" b="0"/>
            <wp:wrapTopAndBottom/>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26"/>
                    <a:stretch>
                      <a:fillRect/>
                    </a:stretch>
                  </pic:blipFill>
                  <pic:spPr>
                    <a:xfrm>
                      <a:off x="0" y="0"/>
                      <a:ext cx="1782318" cy="488950"/>
                    </a:xfrm>
                    <a:prstGeom prst="rect">
                      <a:avLst/>
                    </a:prstGeom>
                  </pic:spPr>
                </pic:pic>
              </a:graphicData>
            </a:graphic>
          </wp:anchor>
        </w:drawing>
      </w:r>
      <w:r w:rsidRPr="00FC199B">
        <w:rPr>
          <w:sz w:val="20"/>
          <w:szCs w:val="20"/>
        </w:rPr>
        <w:t xml:space="preserve"> </w:t>
      </w:r>
    </w:p>
    <w:p w:rsidR="0020687F" w:rsidRPr="00FC199B" w:rsidRDefault="000658E9">
      <w:pPr>
        <w:pStyle w:val="Titre1"/>
        <w:ind w:left="141"/>
        <w:rPr>
          <w:sz w:val="20"/>
          <w:szCs w:val="20"/>
        </w:rPr>
      </w:pPr>
      <w:r w:rsidRPr="00FC199B">
        <w:rPr>
          <w:sz w:val="20"/>
          <w:szCs w:val="20"/>
        </w:rPr>
        <w:t xml:space="preserve">Mission 2 : Soutien à la gestion et à la valorisation des publications (papier et en ligne) </w:t>
      </w:r>
    </w:p>
    <w:p w:rsidR="0020687F" w:rsidRPr="00FC199B" w:rsidRDefault="000658E9">
      <w:pPr>
        <w:pStyle w:val="Titre2"/>
        <w:ind w:left="141"/>
        <w:rPr>
          <w:sz w:val="20"/>
          <w:szCs w:val="20"/>
        </w:rPr>
      </w:pPr>
      <w:r w:rsidRPr="00FC199B">
        <w:rPr>
          <w:sz w:val="20"/>
          <w:szCs w:val="20"/>
        </w:rPr>
        <w:t xml:space="preserve">Revue </w:t>
      </w:r>
      <w:r w:rsidRPr="00FC199B">
        <w:rPr>
          <w:i/>
          <w:sz w:val="20"/>
          <w:szCs w:val="20"/>
        </w:rPr>
        <w:t>IdeAs</w:t>
      </w:r>
      <w:r w:rsidRPr="00FC199B">
        <w:rPr>
          <w:sz w:val="20"/>
          <w:szCs w:val="20"/>
        </w:rPr>
        <w:t xml:space="preserve"> : participation à la fabrication d'un numéro </w:t>
      </w:r>
    </w:p>
    <w:p w:rsidR="0020687F" w:rsidRPr="00FC199B" w:rsidRDefault="000658E9">
      <w:pPr>
        <w:numPr>
          <w:ilvl w:val="0"/>
          <w:numId w:val="2"/>
        </w:numPr>
        <w:ind w:right="5" w:hanging="161"/>
        <w:rPr>
          <w:sz w:val="20"/>
          <w:szCs w:val="20"/>
        </w:rPr>
      </w:pPr>
      <w:r w:rsidRPr="00FC199B">
        <w:rPr>
          <w:sz w:val="20"/>
          <w:szCs w:val="20"/>
        </w:rPr>
        <w:t xml:space="preserve">Suivi des numéros en cours (relecture d'articles et de traductions, échanges avec auteurs et évaluateurs...) </w:t>
      </w:r>
    </w:p>
    <w:p w:rsidR="0020687F" w:rsidRPr="00FC199B" w:rsidRDefault="000658E9">
      <w:pPr>
        <w:numPr>
          <w:ilvl w:val="0"/>
          <w:numId w:val="2"/>
        </w:numPr>
        <w:ind w:right="5" w:hanging="161"/>
        <w:rPr>
          <w:sz w:val="20"/>
          <w:szCs w:val="20"/>
        </w:rPr>
      </w:pPr>
      <w:r w:rsidRPr="00FC199B">
        <w:rPr>
          <w:sz w:val="20"/>
          <w:szCs w:val="20"/>
        </w:rPr>
        <w:t xml:space="preserve">Réflexion pour l'amélioration de la structuration de la revue : mise en conformité en fonction des critères définis. • Proposition, conception et réalisation de différents projets de valorisation : événement, vidéo, flyer, diffusion de l'information, réseaux sociaux… </w:t>
      </w:r>
    </w:p>
    <w:p w:rsidR="0020687F" w:rsidRPr="00FC199B" w:rsidRDefault="000658E9">
      <w:pPr>
        <w:spacing w:after="0" w:line="259" w:lineRule="auto"/>
        <w:ind w:left="141" w:right="0"/>
        <w:jc w:val="left"/>
        <w:rPr>
          <w:sz w:val="20"/>
          <w:szCs w:val="20"/>
        </w:rPr>
      </w:pPr>
      <w:r w:rsidRPr="00FC199B">
        <w:rPr>
          <w:color w:val="006FC0"/>
          <w:sz w:val="20"/>
          <w:szCs w:val="20"/>
        </w:rPr>
        <w:t xml:space="preserve">Soutien à la valorisation des publications (papier) </w:t>
      </w:r>
    </w:p>
    <w:p w:rsidR="0020687F" w:rsidRPr="00FC199B" w:rsidRDefault="000658E9">
      <w:pPr>
        <w:spacing w:after="0" w:line="259" w:lineRule="auto"/>
        <w:ind w:left="0" w:right="0" w:firstLine="0"/>
        <w:jc w:val="left"/>
        <w:rPr>
          <w:sz w:val="20"/>
          <w:szCs w:val="20"/>
        </w:rPr>
      </w:pPr>
      <w:r w:rsidRPr="00FC199B">
        <w:rPr>
          <w:sz w:val="20"/>
          <w:szCs w:val="20"/>
        </w:rPr>
        <w:t xml:space="preserve"> </w:t>
      </w:r>
    </w:p>
    <w:p w:rsidR="0020687F" w:rsidRPr="00FC199B" w:rsidRDefault="000658E9">
      <w:pPr>
        <w:pStyle w:val="Titre1"/>
        <w:ind w:left="141"/>
        <w:rPr>
          <w:sz w:val="20"/>
          <w:szCs w:val="20"/>
        </w:rPr>
      </w:pPr>
      <w:r w:rsidRPr="00FC199B">
        <w:rPr>
          <w:sz w:val="20"/>
          <w:szCs w:val="20"/>
        </w:rPr>
        <w:t xml:space="preserve">Missions complémentaires </w:t>
      </w:r>
    </w:p>
    <w:p w:rsidR="0020687F" w:rsidRPr="00FC199B" w:rsidRDefault="000658E9">
      <w:pPr>
        <w:ind w:left="141" w:right="5"/>
        <w:rPr>
          <w:sz w:val="20"/>
          <w:szCs w:val="20"/>
        </w:rPr>
      </w:pPr>
      <w:r w:rsidRPr="00FC199B">
        <w:rPr>
          <w:sz w:val="20"/>
          <w:szCs w:val="20"/>
        </w:rPr>
        <w:t>Organisation de réunions et rédaction de comptes-rendus, participation</w:t>
      </w:r>
      <w:r w:rsidRPr="00FC199B">
        <w:rPr>
          <w:color w:val="006FC0"/>
          <w:sz w:val="20"/>
          <w:szCs w:val="20"/>
        </w:rPr>
        <w:t xml:space="preserve"> </w:t>
      </w:r>
      <w:r w:rsidRPr="00FC199B">
        <w:rPr>
          <w:sz w:val="20"/>
          <w:szCs w:val="20"/>
        </w:rPr>
        <w:t xml:space="preserve">à l'organisation du congrès international de l'IdA (septembre 2021). </w:t>
      </w:r>
    </w:p>
    <w:p w:rsidR="0020687F" w:rsidRPr="00FC199B" w:rsidRDefault="000658E9">
      <w:pPr>
        <w:spacing w:after="0" w:line="259" w:lineRule="auto"/>
        <w:ind w:left="0" w:right="0" w:firstLine="0"/>
        <w:jc w:val="left"/>
        <w:rPr>
          <w:sz w:val="20"/>
          <w:szCs w:val="20"/>
        </w:rPr>
      </w:pPr>
      <w:r w:rsidRPr="00FC199B">
        <w:rPr>
          <w:sz w:val="20"/>
          <w:szCs w:val="20"/>
        </w:rPr>
        <w:t xml:space="preserve"> </w:t>
      </w:r>
    </w:p>
    <w:p w:rsidR="0020687F" w:rsidRPr="00FC199B" w:rsidRDefault="000658E9">
      <w:pPr>
        <w:spacing w:after="0" w:line="259" w:lineRule="auto"/>
        <w:ind w:left="141" w:right="0"/>
        <w:jc w:val="left"/>
        <w:rPr>
          <w:sz w:val="20"/>
          <w:szCs w:val="20"/>
        </w:rPr>
      </w:pPr>
      <w:r w:rsidRPr="00FC199B">
        <w:rPr>
          <w:b/>
          <w:sz w:val="20"/>
          <w:szCs w:val="20"/>
        </w:rPr>
        <w:t xml:space="preserve">Profil du candidat : </w:t>
      </w:r>
    </w:p>
    <w:p w:rsidR="0020687F" w:rsidRPr="00FC199B" w:rsidRDefault="000658E9">
      <w:pPr>
        <w:ind w:left="141" w:right="5"/>
        <w:rPr>
          <w:sz w:val="20"/>
          <w:szCs w:val="20"/>
        </w:rPr>
      </w:pPr>
      <w:r w:rsidRPr="00FC199B">
        <w:rPr>
          <w:sz w:val="20"/>
          <w:szCs w:val="20"/>
        </w:rPr>
        <w:t xml:space="preserve">Formation Bac + 4/5, Sciences sociales, édition, management de l’édition, édition en ligne, communication numérique, métiers de la traduction, lettres, langues.  </w:t>
      </w:r>
    </w:p>
    <w:p w:rsidR="0020687F" w:rsidRPr="00FC199B" w:rsidRDefault="000658E9">
      <w:pPr>
        <w:spacing w:after="0" w:line="239" w:lineRule="auto"/>
        <w:ind w:left="141" w:right="6"/>
        <w:rPr>
          <w:sz w:val="20"/>
          <w:szCs w:val="20"/>
        </w:rPr>
      </w:pPr>
      <w:r w:rsidRPr="00FC199B">
        <w:rPr>
          <w:sz w:val="20"/>
          <w:szCs w:val="20"/>
        </w:rPr>
        <w:t xml:space="preserve">Bonne connaissance des Amériques. Maîtrise de l’anglais et/ou de l’espagnol indispensable. Excellentes qualités rédactionnelles (rédaction, orthographe, grammaire, règles typographiques, capacité de synthèse ...). Ouverture d’esprit et polyvalence. Goût pour le travail en équipe (communication et partage de l’information). Sens de l’organisation et de la rigueur. Bonne maîtrise des outils bureautiques et multimédias. Une maîtrise de la suite Adobe (InDesign, Illustrator, Photoshop) serait un plus et permettrait au / à la stagiaire de proposer des projets de valorisation. </w:t>
      </w:r>
    </w:p>
    <w:p w:rsidR="0020687F" w:rsidRPr="00FC199B" w:rsidRDefault="000658E9">
      <w:pPr>
        <w:spacing w:after="0" w:line="259" w:lineRule="auto"/>
        <w:ind w:left="0" w:right="0" w:firstLine="0"/>
        <w:jc w:val="left"/>
        <w:rPr>
          <w:sz w:val="20"/>
          <w:szCs w:val="20"/>
        </w:rPr>
      </w:pPr>
      <w:r w:rsidRPr="00FC199B">
        <w:rPr>
          <w:sz w:val="20"/>
          <w:szCs w:val="20"/>
        </w:rPr>
        <w:t xml:space="preserve"> </w:t>
      </w:r>
    </w:p>
    <w:p w:rsidR="0020687F" w:rsidRPr="00FC199B" w:rsidRDefault="000658E9">
      <w:pPr>
        <w:ind w:left="141" w:right="5"/>
        <w:rPr>
          <w:sz w:val="20"/>
          <w:szCs w:val="20"/>
        </w:rPr>
      </w:pPr>
      <w:r w:rsidRPr="00FC199B">
        <w:rPr>
          <w:b/>
          <w:sz w:val="20"/>
          <w:szCs w:val="20"/>
        </w:rPr>
        <w:t>Rémunération :</w:t>
      </w:r>
      <w:r w:rsidRPr="00FC199B">
        <w:rPr>
          <w:sz w:val="20"/>
          <w:szCs w:val="20"/>
        </w:rPr>
        <w:t xml:space="preserve"> Indemnisation légale de stage au prorata du temps travaillé et remboursement à 50 % du titre du transport. Stage conventionné. </w:t>
      </w:r>
    </w:p>
    <w:p w:rsidR="0020687F" w:rsidRPr="00FC199B" w:rsidRDefault="000658E9">
      <w:pPr>
        <w:ind w:left="141" w:right="5"/>
        <w:rPr>
          <w:sz w:val="20"/>
          <w:szCs w:val="20"/>
        </w:rPr>
      </w:pPr>
      <w:r w:rsidRPr="00FC199B">
        <w:rPr>
          <w:b/>
          <w:sz w:val="20"/>
          <w:szCs w:val="20"/>
        </w:rPr>
        <w:t>Contrat de stage :</w:t>
      </w:r>
      <w:r w:rsidRPr="00FC199B">
        <w:rPr>
          <w:sz w:val="20"/>
          <w:szCs w:val="20"/>
        </w:rPr>
        <w:t xml:space="preserve"> </w:t>
      </w:r>
      <w:r w:rsidR="00C754BD" w:rsidRPr="00FC199B">
        <w:rPr>
          <w:sz w:val="20"/>
          <w:szCs w:val="20"/>
        </w:rPr>
        <w:t>4</w:t>
      </w:r>
      <w:r w:rsidRPr="00FC199B">
        <w:rPr>
          <w:sz w:val="20"/>
          <w:szCs w:val="20"/>
        </w:rPr>
        <w:t xml:space="preserve"> mois à temps plein à partir d</w:t>
      </w:r>
      <w:r w:rsidR="00713B5D" w:rsidRPr="00FC199B">
        <w:rPr>
          <w:sz w:val="20"/>
          <w:szCs w:val="20"/>
        </w:rPr>
        <w:t>e septembre 2022</w:t>
      </w:r>
    </w:p>
    <w:p w:rsidR="0020687F" w:rsidRPr="00FC199B" w:rsidRDefault="000658E9">
      <w:pPr>
        <w:ind w:left="141" w:right="5"/>
        <w:rPr>
          <w:sz w:val="20"/>
          <w:szCs w:val="20"/>
        </w:rPr>
      </w:pPr>
      <w:r w:rsidRPr="00FC199B">
        <w:rPr>
          <w:b/>
          <w:sz w:val="20"/>
          <w:szCs w:val="20"/>
        </w:rPr>
        <w:t>Lieu :</w:t>
      </w:r>
      <w:r w:rsidRPr="00FC199B">
        <w:rPr>
          <w:sz w:val="20"/>
          <w:szCs w:val="20"/>
        </w:rPr>
        <w:t xml:space="preserve"> Institut des Amériques, Campus Condorcet, 5 Cours des Humanités, 93322 Aubervilliers Cedex. </w:t>
      </w:r>
    </w:p>
    <w:p w:rsidR="0020687F" w:rsidRPr="00FC199B" w:rsidRDefault="000658E9">
      <w:pPr>
        <w:spacing w:after="85" w:line="259" w:lineRule="auto"/>
        <w:ind w:left="0" w:right="0" w:firstLine="0"/>
        <w:jc w:val="left"/>
        <w:rPr>
          <w:sz w:val="20"/>
          <w:szCs w:val="20"/>
        </w:rPr>
      </w:pPr>
      <w:r w:rsidRPr="00FC199B">
        <w:rPr>
          <w:sz w:val="20"/>
          <w:szCs w:val="20"/>
        </w:rPr>
        <w:t xml:space="preserve"> </w:t>
      </w:r>
    </w:p>
    <w:p w:rsidR="0020687F" w:rsidRPr="00FC199B" w:rsidRDefault="000658E9">
      <w:pPr>
        <w:spacing w:after="0" w:line="259" w:lineRule="auto"/>
        <w:ind w:left="111" w:right="0" w:firstLine="0"/>
        <w:jc w:val="center"/>
        <w:rPr>
          <w:sz w:val="20"/>
          <w:szCs w:val="20"/>
        </w:rPr>
      </w:pPr>
      <w:r w:rsidRPr="00FC199B">
        <w:rPr>
          <w:b/>
          <w:sz w:val="20"/>
          <w:szCs w:val="20"/>
        </w:rPr>
        <w:t xml:space="preserve">Envoyer CV + lettre de motivation jusqu'au </w:t>
      </w:r>
      <w:r w:rsidR="00FC199B">
        <w:rPr>
          <w:b/>
          <w:sz w:val="20"/>
          <w:szCs w:val="20"/>
        </w:rPr>
        <w:t>3</w:t>
      </w:r>
      <w:bookmarkStart w:id="0" w:name="_GoBack"/>
      <w:bookmarkEnd w:id="0"/>
      <w:r w:rsidR="00255EBF" w:rsidRPr="00FC199B">
        <w:rPr>
          <w:b/>
          <w:sz w:val="20"/>
          <w:szCs w:val="20"/>
        </w:rPr>
        <w:t>0 août 2022</w:t>
      </w:r>
      <w:r w:rsidRPr="00FC199B">
        <w:rPr>
          <w:b/>
          <w:sz w:val="20"/>
          <w:szCs w:val="20"/>
        </w:rPr>
        <w:t xml:space="preserve"> à </w:t>
      </w:r>
      <w:r w:rsidRPr="00FC199B">
        <w:rPr>
          <w:b/>
          <w:color w:val="0000FF"/>
          <w:sz w:val="20"/>
          <w:szCs w:val="20"/>
          <w:u w:val="single" w:color="0000FF"/>
        </w:rPr>
        <w:t>recrutement.idameriques@gmail.com</w:t>
      </w:r>
      <w:r w:rsidRPr="00FC199B">
        <w:rPr>
          <w:b/>
          <w:sz w:val="20"/>
          <w:szCs w:val="20"/>
        </w:rPr>
        <w:t xml:space="preserve">  </w:t>
      </w:r>
    </w:p>
    <w:sectPr w:rsidR="0020687F" w:rsidRPr="00FC199B">
      <w:pgSz w:w="11911" w:h="16841"/>
      <w:pgMar w:top="1440" w:right="539" w:bottom="144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DD0"/>
    <w:multiLevelType w:val="hybridMultilevel"/>
    <w:tmpl w:val="304E7C7A"/>
    <w:lvl w:ilvl="0" w:tplc="E0EE9A5C">
      <w:start w:val="1"/>
      <w:numFmt w:val="bullet"/>
      <w:lvlText w:val="•"/>
      <w:lvlJc w:val="left"/>
      <w:pPr>
        <w:ind w:left="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7CA9DC">
      <w:start w:val="1"/>
      <w:numFmt w:val="bullet"/>
      <w:lvlText w:val="o"/>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CC1F5C">
      <w:start w:val="1"/>
      <w:numFmt w:val="bullet"/>
      <w:lvlText w:val="▪"/>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AA9018">
      <w:start w:val="1"/>
      <w:numFmt w:val="bullet"/>
      <w:lvlText w:val="•"/>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9AD1FC">
      <w:start w:val="1"/>
      <w:numFmt w:val="bullet"/>
      <w:lvlText w:val="o"/>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543C52">
      <w:start w:val="1"/>
      <w:numFmt w:val="bullet"/>
      <w:lvlText w:val="▪"/>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4F6B0">
      <w:start w:val="1"/>
      <w:numFmt w:val="bullet"/>
      <w:lvlText w:val="•"/>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4E8E2">
      <w:start w:val="1"/>
      <w:numFmt w:val="bullet"/>
      <w:lvlText w:val="o"/>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8135A">
      <w:start w:val="1"/>
      <w:numFmt w:val="bullet"/>
      <w:lvlText w:val="▪"/>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FE4DA0"/>
    <w:multiLevelType w:val="hybridMultilevel"/>
    <w:tmpl w:val="9272B018"/>
    <w:lvl w:ilvl="0" w:tplc="1958B580">
      <w:start w:val="1"/>
      <w:numFmt w:val="bullet"/>
      <w:lvlText w:val="•"/>
      <w:lvlJc w:val="left"/>
      <w:pPr>
        <w:ind w:left="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4C9932">
      <w:start w:val="1"/>
      <w:numFmt w:val="bullet"/>
      <w:lvlText w:val="o"/>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0A9CB4">
      <w:start w:val="1"/>
      <w:numFmt w:val="bullet"/>
      <w:lvlText w:val="▪"/>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C4212">
      <w:start w:val="1"/>
      <w:numFmt w:val="bullet"/>
      <w:lvlText w:val="•"/>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ACB4E2">
      <w:start w:val="1"/>
      <w:numFmt w:val="bullet"/>
      <w:lvlText w:val="o"/>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A2F4C8">
      <w:start w:val="1"/>
      <w:numFmt w:val="bullet"/>
      <w:lvlText w:val="▪"/>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861DE">
      <w:start w:val="1"/>
      <w:numFmt w:val="bullet"/>
      <w:lvlText w:val="•"/>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87352">
      <w:start w:val="1"/>
      <w:numFmt w:val="bullet"/>
      <w:lvlText w:val="o"/>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64C9CE">
      <w:start w:val="1"/>
      <w:numFmt w:val="bullet"/>
      <w:lvlText w:val="▪"/>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7F"/>
    <w:rsid w:val="000658E9"/>
    <w:rsid w:val="0020687F"/>
    <w:rsid w:val="00255EBF"/>
    <w:rsid w:val="00713B5D"/>
    <w:rsid w:val="00C754BD"/>
    <w:rsid w:val="00FC1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465"/>
  <w15:docId w15:val="{E5E5130E-5980-4263-878E-79BC73D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56" w:right="18"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56" w:hanging="10"/>
      <w:outlineLvl w:val="0"/>
    </w:pPr>
    <w:rPr>
      <w:rFonts w:ascii="Calibri" w:eastAsia="Calibri" w:hAnsi="Calibri" w:cs="Calibri"/>
      <w:b/>
      <w:color w:val="000000"/>
    </w:rPr>
  </w:style>
  <w:style w:type="paragraph" w:styleId="Titre2">
    <w:name w:val="heading 2"/>
    <w:next w:val="Normal"/>
    <w:link w:val="Titre2Car"/>
    <w:uiPriority w:val="9"/>
    <w:unhideWhenUsed/>
    <w:qFormat/>
    <w:pPr>
      <w:keepNext/>
      <w:keepLines/>
      <w:spacing w:after="0"/>
      <w:ind w:left="156" w:hanging="10"/>
      <w:outlineLvl w:val="1"/>
    </w:pPr>
    <w:rPr>
      <w:rFonts w:ascii="Calibri" w:eastAsia="Calibri" w:hAnsi="Calibri" w:cs="Calibri"/>
      <w:color w:val="006F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character" w:customStyle="1" w:styleId="Titre2Car">
    <w:name w:val="Titre 2 Car"/>
    <w:link w:val="Titre2"/>
    <w:rPr>
      <w:rFonts w:ascii="Calibri" w:eastAsia="Calibri" w:hAnsi="Calibri" w:cs="Calibri"/>
      <w:color w:val="006FC0"/>
      <w:sz w:val="22"/>
    </w:rPr>
  </w:style>
  <w:style w:type="character" w:styleId="Lienhypertexte">
    <w:name w:val="Hyperlink"/>
    <w:basedOn w:val="Policepardfaut"/>
    <w:uiPriority w:val="99"/>
    <w:unhideWhenUsed/>
    <w:rsid w:val="000658E9"/>
    <w:rPr>
      <w:color w:val="0563C1" w:themeColor="hyperlink"/>
      <w:u w:val="single"/>
    </w:rPr>
  </w:style>
  <w:style w:type="character" w:styleId="Mentionnonrsolue">
    <w:name w:val="Unresolved Mention"/>
    <w:basedOn w:val="Policepardfaut"/>
    <w:uiPriority w:val="99"/>
    <w:semiHidden/>
    <w:unhideWhenUsed/>
    <w:rsid w:val="0006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unod.com/marque/armand-colin" TargetMode="External"/><Relationship Id="rId13" Type="http://schemas.openxmlformats.org/officeDocument/2006/relationships/hyperlink" Target="https://www.institutdesameriques.fr/fr/ouvrages-des-ameriques" TargetMode="External"/><Relationship Id="rId18" Type="http://schemas.openxmlformats.org/officeDocument/2006/relationships/hyperlink" Target="http://www.institutdesameriques.fr/fr/content/aides" TargetMode="External"/><Relationship Id="rId26"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hyperlink" Target="http://www.institutdesameriques.fr/fr/content/aide-a-la-publication-prix-de-theses" TargetMode="External"/><Relationship Id="rId7" Type="http://schemas.openxmlformats.org/officeDocument/2006/relationships/hyperlink" Target="http://ideas.revues.org/" TargetMode="External"/><Relationship Id="rId12" Type="http://schemas.openxmlformats.org/officeDocument/2006/relationships/hyperlink" Target="https://pur-editions.fr/" TargetMode="External"/><Relationship Id="rId17" Type="http://schemas.openxmlformats.org/officeDocument/2006/relationships/hyperlink" Target="http://www.institutdesameriques.fr/fr/content/aides" TargetMode="External"/><Relationship Id="rId25" Type="http://schemas.openxmlformats.org/officeDocument/2006/relationships/hyperlink" Target="http://www.institutdesameriques.fr/fr/contrats-doctoraux" TargetMode="External"/><Relationship Id="rId2" Type="http://schemas.openxmlformats.org/officeDocument/2006/relationships/styles" Target="styles.xml"/><Relationship Id="rId16" Type="http://schemas.openxmlformats.org/officeDocument/2006/relationships/hyperlink" Target="http://www.institutdesameriques.fr/fr/content/presentation-des-poles-regionaux" TargetMode="External"/><Relationship Id="rId20" Type="http://schemas.openxmlformats.org/officeDocument/2006/relationships/hyperlink" Target="http://www.institutdesameriques.fr/fr/content/aides" TargetMode="External"/><Relationship Id="rId1" Type="http://schemas.openxmlformats.org/officeDocument/2006/relationships/numbering" Target="numbering.xml"/><Relationship Id="rId6" Type="http://schemas.openxmlformats.org/officeDocument/2006/relationships/hyperlink" Target="http://ideas.revues.org/" TargetMode="External"/><Relationship Id="rId11" Type="http://schemas.openxmlformats.org/officeDocument/2006/relationships/hyperlink" Target="https://www.institutdesameriques.fr/fr/ouvrages-des-ameriques" TargetMode="External"/><Relationship Id="rId24" Type="http://schemas.openxmlformats.org/officeDocument/2006/relationships/hyperlink" Target="https://www.institutdesameriques.fr/agenda/contrats-doctoraux-fleches-ida-2022-2025" TargetMode="External"/><Relationship Id="rId5" Type="http://schemas.openxmlformats.org/officeDocument/2006/relationships/hyperlink" Target="http://ideas.revues.org/" TargetMode="External"/><Relationship Id="rId15" Type="http://schemas.openxmlformats.org/officeDocument/2006/relationships/hyperlink" Target="https://www.institutdesameriques.fr/pole/poles-regionaux" TargetMode="External"/><Relationship Id="rId23" Type="http://schemas.openxmlformats.org/officeDocument/2006/relationships/hyperlink" Target="http://www.institutdesameriques.fr/fr/content/aide-a-la-publication-prix-de-theses" TargetMode="External"/><Relationship Id="rId28" Type="http://schemas.openxmlformats.org/officeDocument/2006/relationships/theme" Target="theme/theme1.xml"/><Relationship Id="rId10" Type="http://schemas.openxmlformats.org/officeDocument/2006/relationships/hyperlink" Target="https://www.institutdesameriques.fr/fr/ouvrages-americas" TargetMode="External"/><Relationship Id="rId19" Type="http://schemas.openxmlformats.org/officeDocument/2006/relationships/hyperlink" Target="http://www.institutdesameriques.fr/fr/content/aides" TargetMode="External"/><Relationship Id="rId4" Type="http://schemas.openxmlformats.org/officeDocument/2006/relationships/webSettings" Target="webSettings.xml"/><Relationship Id="rId9" Type="http://schemas.openxmlformats.org/officeDocument/2006/relationships/hyperlink" Target="https://www.institutdesameriques.fr/fr/ouvrages-americas" TargetMode="External"/><Relationship Id="rId14" Type="http://schemas.openxmlformats.org/officeDocument/2006/relationships/hyperlink" Target="http://www.institutdesameriques.fr/fr/content/presentation-des-poles-regionaux" TargetMode="External"/><Relationship Id="rId22" Type="http://schemas.openxmlformats.org/officeDocument/2006/relationships/hyperlink" Target="http://www.institutdesameriques.fr/fr/content/aide-a-la-publication-prix-de-theses"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4244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Magnan</dc:creator>
  <cp:keywords/>
  <cp:lastModifiedBy>AdminIDA</cp:lastModifiedBy>
  <cp:revision>2</cp:revision>
  <dcterms:created xsi:type="dcterms:W3CDTF">2022-08-22T07:37:00Z</dcterms:created>
  <dcterms:modified xsi:type="dcterms:W3CDTF">2022-08-22T07:37:00Z</dcterms:modified>
</cp:coreProperties>
</file>